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Le</w:t>
      </w:r>
      <w:r>
        <w:t xml:space="preserve"> </w:t>
      </w:r>
      <w:r>
        <w:t xml:space="preserve">Sinistre</w:t>
      </w:r>
      <w:r>
        <w:t xml:space="preserve"> </w:t>
      </w:r>
      <w:r>
        <w:t xml:space="preserve">Secret</w:t>
      </w:r>
      <w:r>
        <w:t xml:space="preserve"> </w:t>
      </w:r>
      <w:r>
        <w:t xml:space="preserve">de</w:t>
      </w:r>
      <w:r>
        <w:t xml:space="preserve"> </w:t>
      </w:r>
      <w:r>
        <w:t xml:space="preserve">Saltmarsh</w:t>
      </w:r>
    </w:p>
    <w:bookmarkStart w:id="30" w:name="le-sinistre-secret-de-saltmarsh"/>
    <w:p>
      <w:pPr>
        <w:pStyle w:val="Titre1"/>
      </w:pPr>
      <w:r>
        <w:t xml:space="preserve">Le Sinistre Secret de</w:t>
      </w:r>
      <w:r>
        <w:t xml:space="preserve"> </w:t>
      </w:r>
      <w:r>
        <w:t xml:space="preserve">Saltmarsh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préface"/>
    <w:p>
      <w:pPr>
        <w:pStyle w:val="Titre2"/>
      </w:pPr>
      <w:r>
        <w:t xml:space="preserve">Préface</w:t>
      </w:r>
    </w:p>
    <w:p>
      <w:pPr>
        <w:pStyle w:val="BlockText"/>
      </w:pPr>
      <w:r>
        <w:t xml:space="preserve">Je suis très fier de pouvoir vous présenter ce module, non seulement</w:t>
      </w:r>
      <w:r>
        <w:t xml:space="preserve"> </w:t>
      </w:r>
      <w:r>
        <w:t xml:space="preserve">parce qu’il est en partie mon œuvre, mais aussi parce que c’est le</w:t>
      </w:r>
      <w:r>
        <w:t xml:space="preserve"> </w:t>
      </w:r>
      <w:r>
        <w:t xml:space="preserve">premier module d’AD&amp;D à avoir été écrit au Royaume Uni. Je disais,</w:t>
      </w:r>
      <w:r>
        <w:t xml:space="preserve"> </w:t>
      </w:r>
      <w:r>
        <w:t xml:space="preserve">dans l’épilogue du “FIEND FOLIO”, que T.S.R. HOBBIES (U.K.) Ltd, la</w:t>
      </w:r>
      <w:r>
        <w:t xml:space="preserve"> </w:t>
      </w:r>
      <w:r>
        <w:t xml:space="preserve">branche T.S.R. du Royaume Uni, avait des projets pour l’avenir ; ce</w:t>
      </w:r>
      <w:r>
        <w:t xml:space="preserve"> </w:t>
      </w:r>
      <w:r>
        <w:t xml:space="preserve">module en est le premier fruit. Nous espérons sincèrement que ce module,</w:t>
      </w:r>
      <w:r>
        <w:t xml:space="preserve"> </w:t>
      </w:r>
      <w:r>
        <w:t xml:space="preserve">ainsi que les suivants, vous enchantera.</w:t>
      </w:r>
    </w:p>
    <w:p>
      <w:pPr>
        <w:pStyle w:val="BlockText"/>
      </w:pPr>
      <w:r>
        <w:t xml:space="preserve">Don Turnbull — D.G. T.S.R. HOBBIES (U.K.) Ltd.</w:t>
      </w:r>
    </w:p>
    <w:bookmarkEnd w:id="23"/>
    <w:bookmarkStart w:id="27" w:name="quest-ce-que-ce-module"/>
    <w:p>
      <w:pPr>
        <w:pStyle w:val="Titre2"/>
      </w:pPr>
      <w:r>
        <w:t xml:space="preserve">Qu’est-ce que ce module ?</w:t>
      </w:r>
    </w:p>
    <w:p>
      <w:pPr>
        <w:pStyle w:val="FirstParagraph"/>
      </w:pPr>
      <w:r>
        <w:t xml:space="preserve">“</w:t>
      </w:r>
      <w:r>
        <w:rPr>
          <w:bCs/>
          <w:b/>
        </w:rPr>
        <w:t xml:space="preserve">Le Sinistre Secret de Saltmarsh</w:t>
      </w:r>
      <w:r>
        <w:t xml:space="preserve">” est le premier</w:t>
      </w:r>
      <w:r>
        <w:t xml:space="preserve"> </w:t>
      </w:r>
      <w:r>
        <w:t xml:space="preserve">module d’une série de trois. Il est lui-même divisé en deux aventures</w:t>
      </w:r>
      <w:r>
        <w:t xml:space="preserve"> </w:t>
      </w:r>
      <w:r>
        <w:t xml:space="preserve">distinctes : “</w:t>
      </w:r>
      <w:r>
        <w:rPr>
          <w:bCs/>
          <w:b/>
        </w:rPr>
        <w:t xml:space="preserve">La Maison Hantée</w:t>
      </w:r>
      <w:r>
        <w:t xml:space="preserve">” et “</w:t>
      </w:r>
      <w:r>
        <w:rPr>
          <w:bCs/>
          <w:b/>
        </w:rPr>
        <w:t xml:space="preserve">Le Fantôme</w:t>
      </w:r>
      <w:r>
        <w:rPr>
          <w:bCs/>
          <w:b/>
        </w:rPr>
        <w:t xml:space="preserve"> </w:t>
      </w:r>
      <w:r>
        <w:rPr>
          <w:bCs/>
          <w:b/>
        </w:rPr>
        <w:t xml:space="preserve">des Mers</w:t>
      </w:r>
      <w:r>
        <w:t xml:space="preserve">”. Chacune d’elles est, en temps de jeu probable,</w:t>
      </w:r>
      <w:r>
        <w:t xml:space="preserve"> </w:t>
      </w:r>
      <w:r>
        <w:t xml:space="preserve">relativement courte.</w:t>
      </w:r>
    </w:p>
    <w:p>
      <w:pPr>
        <w:pStyle w:val="Corpsdetexte"/>
      </w:pPr>
      <w:r>
        <w:t xml:space="preserve">Ces modules furent écrits, à l’origine, pour être joués en tant que</w:t>
      </w:r>
      <w:r>
        <w:t xml:space="preserve"> </w:t>
      </w:r>
      <w:r>
        <w:t xml:space="preserve">série. Les personnages débutent avec peu ou pas d’expérience, et œuvrent</w:t>
      </w:r>
      <w:r>
        <w:t xml:space="preserve"> </w:t>
      </w:r>
      <w:r>
        <w:t xml:space="preserve">à travers les trois parties en accumulant les Points d’Expérience. Au</w:t>
      </w:r>
      <w:r>
        <w:t xml:space="preserve"> </w:t>
      </w:r>
      <w:r>
        <w:t xml:space="preserve">moment où débute le deuxième module, le U2 : “</w:t>
      </w:r>
      <w:r>
        <w:rPr>
          <w:bCs/>
          <w:b/>
        </w:rPr>
        <w:t xml:space="preserve">Les Dangers de</w:t>
      </w:r>
      <w:r>
        <w:rPr>
          <w:bCs/>
          <w:b/>
        </w:rPr>
        <w:t xml:space="preserve"> </w:t>
      </w:r>
      <w:r>
        <w:rPr>
          <w:bCs/>
          <w:b/>
        </w:rPr>
        <w:t xml:space="preserve">Dunwater</w:t>
      </w:r>
      <w:r>
        <w:t xml:space="preserve">”, les personnages devraient avoir accumulé</w:t>
      </w:r>
      <w:r>
        <w:t xml:space="preserve"> </w:t>
      </w:r>
      <w:r>
        <w:t xml:space="preserve">suffisamment de Points d’Expérience pour accéder au niveau 2. A la fin</w:t>
      </w:r>
      <w:r>
        <w:t xml:space="preserve"> </w:t>
      </w:r>
      <w:r>
        <w:t xml:space="preserve">de ce module, et lorsqu’ils s’engagent dans le U3,</w:t>
      </w:r>
      <w:r>
        <w:t xml:space="preserve"> </w:t>
      </w:r>
      <w:r>
        <w:t xml:space="preserve">“</w:t>
      </w:r>
      <w:r>
        <w:rPr>
          <w:bCs/>
          <w:b/>
        </w:rPr>
        <w:t xml:space="preserve">L’Affrontement</w:t>
      </w:r>
      <w:r>
        <w:t xml:space="preserve">”, les aventuriers devraient être bien</w:t>
      </w:r>
      <w:r>
        <w:t xml:space="preserve"> </w:t>
      </w:r>
      <w:r>
        <w:t xml:space="preserve">avancés en Points d’Expérience, et peuvent même, si la chance leur a</w:t>
      </w:r>
      <w:r>
        <w:t xml:space="preserve"> </w:t>
      </w:r>
      <w:r>
        <w:t xml:space="preserve">sourit, débuter cette aventure au niveau 3.</w:t>
      </w:r>
    </w:p>
    <w:p>
      <w:pPr>
        <w:pStyle w:val="Corpsdetexte"/>
      </w:pPr>
      <w:r>
        <w:rPr>
          <w:bCs/>
          <w:b/>
        </w:rPr>
        <w:t xml:space="preserve">Ce module est conçu pour un groupe de 5 à 10 joueurs de</w:t>
      </w:r>
      <w:r>
        <w:rPr>
          <w:bCs/>
          <w:b/>
        </w:rPr>
        <w:t xml:space="preserve"> </w:t>
      </w:r>
      <w:r>
        <w:rPr>
          <w:bCs/>
          <w:b/>
        </w:rPr>
        <w:t xml:space="preserve">niveau 1 à 3</w:t>
      </w:r>
      <w:r>
        <w:t xml:space="preserve">. Il est particulièrement important, dans le cas où</w:t>
      </w:r>
      <w:r>
        <w:t xml:space="preserve"> </w:t>
      </w:r>
      <w:r>
        <w:t xml:space="preserve">les personnages jouent la série en entier, de monter de niveau avant de</w:t>
      </w:r>
      <w:r>
        <w:t xml:space="preserve"> </w:t>
      </w:r>
      <w:r>
        <w:t xml:space="preserve">s’attaquer au module U3, qui, dans le cas contraire, serait trop</w:t>
      </w:r>
      <w:r>
        <w:t xml:space="preserve"> </w:t>
      </w:r>
      <w:r>
        <w:t xml:space="preserve">difficile pour eux. Le MD devra porter la Plus grande attention au</w:t>
      </w:r>
      <w:r>
        <w:t xml:space="preserve"> </w:t>
      </w:r>
      <w:r>
        <w:t xml:space="preserve">paragraphe du Guide du Maitre du Donjon concernant l’acquisition des</w:t>
      </w:r>
      <w:r>
        <w:t xml:space="preserve"> </w:t>
      </w:r>
      <w:r>
        <w:t xml:space="preserve">Niveaux d’expérience, et particulièrement au temps consacré à la</w:t>
      </w:r>
      <w:r>
        <w:t xml:space="preserve"> </w:t>
      </w:r>
      <w:r>
        <w:t xml:space="preserve">formation. Il reste libre de renoncer ou de modifier ces durées afin</w:t>
      </w:r>
      <w:r>
        <w:t xml:space="preserve"> </w:t>
      </w:r>
      <w:r>
        <w:t xml:space="preserve">d’éviter qu’il y ait, entre les aventures, de trop longues périodes</w:t>
      </w:r>
      <w:r>
        <w:t xml:space="preserve"> </w:t>
      </w:r>
      <w:r>
        <w:t xml:space="preserve">d’entrainement, irréalistes face aux évènements.</w:t>
      </w:r>
    </w:p>
    <w:p>
      <w:pPr>
        <w:pStyle w:val="Corpsdetexte"/>
      </w:pPr>
      <w:r>
        <w:t xml:space="preserve">Cette série est par conséquent idéale pour les joueurs d’AD&amp;D</w:t>
      </w:r>
      <w:r>
        <w:t xml:space="preserve"> </w:t>
      </w:r>
      <w:r>
        <w:t xml:space="preserve">expérimentés qui désirent développer un personnage de bas niveau, ainsi</w:t>
      </w:r>
      <w:r>
        <w:t xml:space="preserve"> </w:t>
      </w:r>
      <w:r>
        <w:t xml:space="preserve">que pour les joueurs novices qui participent à leur première</w:t>
      </w:r>
      <w:r>
        <w:t xml:space="preserve"> </w:t>
      </w:r>
      <w:r>
        <w:t xml:space="preserve">aventure.</w:t>
      </w:r>
    </w:p>
    <w:p>
      <w:pPr>
        <w:pStyle w:val="CaptionedFigure"/>
      </w:pPr>
      <w:r>
        <w:drawing>
          <wp:inline>
            <wp:extent cx="5943600" cy="3978377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dos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Quatrième de couverture</w:t>
      </w:r>
    </w:p>
    <w:p>
      <w:pPr>
        <w:pStyle w:val="Corpsdetexte"/>
      </w:pPr>
      <w:r>
        <w:t xml:space="preserve">Il est tout à fait possible de jouer ce module comme une aventure</w:t>
      </w:r>
      <w:r>
        <w:t xml:space="preserve"> </w:t>
      </w:r>
      <w:r>
        <w:t xml:space="preserve">unique, voire même de ne jouer que “</w:t>
      </w:r>
      <w:r>
        <w:rPr>
          <w:bCs/>
          <w:b/>
        </w:rPr>
        <w:t xml:space="preserve">La Maison Hantée</w:t>
      </w:r>
      <w:r>
        <w:t xml:space="preserve">”.</w:t>
      </w:r>
      <w:r>
        <w:t xml:space="preserve"> </w:t>
      </w:r>
      <w:r>
        <w:t xml:space="preserve">Bien que la progression vers le U2, puis vers le U3, soit logique, elle</w:t>
      </w:r>
      <w:r>
        <w:t xml:space="preserve"> </w:t>
      </w:r>
      <w:r>
        <w:t xml:space="preserve">n’est pas obligatoire, et l’aventure peut se terminer de manière</w:t>
      </w:r>
      <w:r>
        <w:t xml:space="preserve"> </w:t>
      </w:r>
      <w:r>
        <w:t xml:space="preserve">satisfaisante à la fin du U1, ou même à la fin de “</w:t>
      </w:r>
      <w:r>
        <w:rPr>
          <w:bCs/>
          <w:b/>
        </w:rPr>
        <w:t xml:space="preserve">La Maison</w:t>
      </w:r>
      <w:r>
        <w:rPr>
          <w:bCs/>
          <w:b/>
        </w:rPr>
        <w:t xml:space="preserve"> </w:t>
      </w:r>
      <w:r>
        <w:rPr>
          <w:bCs/>
          <w:b/>
        </w:rPr>
        <w:t xml:space="preserve">Hantée</w:t>
      </w:r>
      <w:r>
        <w:t xml:space="preserve">” si les personnages préfèrent aller explorer d’autres</w:t>
      </w:r>
      <w:r>
        <w:t xml:space="preserve"> </w:t>
      </w:r>
      <w:r>
        <w:t xml:space="preserve">horizons. Il est par contre nécessaire, pour s’attaquer au</w:t>
      </w:r>
      <w:r>
        <w:t xml:space="preserve"> </w:t>
      </w:r>
      <w:r>
        <w:t xml:space="preserve">“</w:t>
      </w:r>
      <w:r>
        <w:rPr>
          <w:bCs/>
          <w:b/>
        </w:rPr>
        <w:t xml:space="preserve">Fantôme des Mers</w:t>
      </w:r>
      <w:r>
        <w:t xml:space="preserve">”, d’avoir joué la première partie de</w:t>
      </w:r>
      <w:r>
        <w:t xml:space="preserve"> </w:t>
      </w:r>
      <w:r>
        <w:t xml:space="preserve">ce module, ou, à défaut, de s’être fait expliquer les évènements par le</w:t>
      </w:r>
      <w:r>
        <w:t xml:space="preserve"> </w:t>
      </w:r>
      <w:r>
        <w:t xml:space="preserve">Maitre du Donjon. De même, l’expérience du U1 ou une explication</w:t>
      </w:r>
      <w:r>
        <w:t xml:space="preserve"> </w:t>
      </w:r>
      <w:r>
        <w:t xml:space="preserve">détaillée des événements sera nécessaire pour joueur les U2 et U3. Un</w:t>
      </w:r>
      <w:r>
        <w:t xml:space="preserve"> </w:t>
      </w:r>
      <w:r>
        <w:t xml:space="preserve">résumé de la situation est inclus dans chacun de ces modules dans cette</w:t>
      </w:r>
      <w:r>
        <w:t xml:space="preserve"> </w:t>
      </w:r>
      <w:r>
        <w:t xml:space="preserve">optique.</w:t>
      </w:r>
    </w:p>
    <w:p>
      <w:pPr>
        <w:pStyle w:val="Corpsdetexte"/>
      </w:pPr>
      <w:r>
        <w:t xml:space="preserve">Vous devez maintenant cesser votre lecture si vous désirez jouer ce</w:t>
      </w:r>
      <w:r>
        <w:t xml:space="preserve"> </w:t>
      </w:r>
      <w:r>
        <w:t xml:space="preserve">module : les chapitres suivants sont réservés au Maître du Donjon.</w:t>
      </w:r>
    </w:p>
    <w:p>
      <w:pPr>
        <w:pStyle w:val="Corpsdetexte"/>
      </w:pPr>
      <w:r>
        <w:t xml:space="preserve">Le Maître du Donjon trouvera un résumé du scénario de cette aventure</w:t>
      </w:r>
      <w:r>
        <w:t xml:space="preserve"> </w:t>
      </w:r>
      <w:r>
        <w:t xml:space="preserve">à la fin de ce module, dans l’appendice.</w:t>
      </w:r>
    </w:p>
    <w:bookmarkEnd w:id="27"/>
    <w:bookmarkStart w:id="28" w:name="notes"/>
    <w:p>
      <w:pPr>
        <w:pStyle w:val="Titre2"/>
      </w:pPr>
      <w:r>
        <w:t xml:space="preserve">Notes</w:t>
      </w:r>
    </w:p>
    <w:p>
      <w:pPr>
        <w:pStyle w:val="FirstParagraph"/>
      </w:pPr>
      <w:r>
        <w:t xml:space="preserve">Tiré de la version française du module. OCR rapide et mise en forme.</w:t>
      </w:r>
      <w:r>
        <w:t xml:space="preserve"> </w:t>
      </w:r>
      <w:r>
        <w:t xml:space="preserve">Pas d’adaptation.</w:t>
      </w:r>
    </w:p>
    <w:p>
      <w:pPr>
        <w:pStyle w:val="Corpsdetexte"/>
      </w:pPr>
      <w:r>
        <w:t xml:space="preserve">La traduction est vraiment limite, mais ce très bon scénario</w:t>
      </w:r>
      <w:r>
        <w:t xml:space="preserve"> </w:t>
      </w:r>
      <w:r>
        <w:t xml:space="preserve">d’initiation (MD et joueurs novices) peu complexe mériterait une refonte</w:t>
      </w:r>
      <w:r>
        <w:t xml:space="preserve"> </w:t>
      </w:r>
      <w:r>
        <w:t xml:space="preserve">complète et une adaptation aux règles de D&amp;D 5</w:t>
      </w:r>
      <w:r>
        <w:rPr>
          <w:vertAlign w:val="superscript"/>
        </w:rPr>
        <w:t xml:space="preserve">ème</w:t>
      </w:r>
      <w:r>
        <w:t xml:space="preserve"> </w:t>
      </w:r>
      <w:r>
        <w:t xml:space="preserve">Edition.</w:t>
      </w:r>
    </w:p>
    <w:bookmarkEnd w:id="28"/>
    <w:bookmarkStart w:id="29" w:name="X7b844f975248b74143a7cdcb4ee9887dfd3d4eb"/>
    <w:p>
      <w:pPr>
        <w:pStyle w:val="Titre2"/>
      </w:pPr>
      <w:r>
        <w:t xml:space="preserve">Le module original</w:t>
      </w:r>
      <w:r>
        <w:t xml:space="preserve"> </w:t>
      </w:r>
      <w:r>
        <w:t xml:space="preserve">en français remasterisé</w:t>
      </w:r>
    </w:p>
    <w:p>
      <w:pPr>
        <w:pStyle w:val="FirstParagraph"/>
      </w:pPr>
      <w:r>
        <w:t xml:space="preserve">Cette archive contient le module original en français remasterisé sur</w:t>
      </w:r>
      <w:r>
        <w:t xml:space="preserve"> </w:t>
      </w:r>
      <w:r>
        <w:t xml:space="preserve">la base de sa version originale avec mise en page et illustrations au</w:t>
      </w:r>
      <w:r>
        <w:t xml:space="preserve"> </w:t>
      </w:r>
      <w:r>
        <w:t xml:space="preserve">format</w:t>
      </w:r>
      <w:r>
        <w:t xml:space="preserve"> </w:t>
      </w:r>
      <w:r>
        <w:rPr>
          <w:bCs/>
          <w:b/>
        </w:rPr>
        <w:t xml:space="preserve">PDF Acrobat</w:t>
      </w:r>
      <w:r>
        <w:t xml:space="preserve">.</w:t>
      </w:r>
    </w:p>
    <w:bookmarkEnd w:id="29"/>
    <w:bookmarkEnd w:id="3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Le Sinistre Secret de Saltmarsh</dc:title>
  <dc:creator/>
  <dc:language/>
  <cp:keywords/>
  <dcterms:created xsi:type="dcterms:W3CDTF">2023-12-11T14:12:27Z</dcterms:created>
  <dcterms:modified xsi:type="dcterms:W3CDTF">2023-12-11T14:12:27Z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